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E5" w:rsidRPr="006300E5" w:rsidRDefault="009065C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9065C5">
        <w:rPr>
          <w:b/>
          <w:sz w:val="28"/>
          <w:szCs w:val="28"/>
          <w:u w:val="single"/>
        </w:rPr>
        <w:t>Selvitys alueellisen vastuumuseon edellytysten täyttymisestä</w:t>
      </w:r>
    </w:p>
    <w:p w:rsidR="006300E5" w:rsidRDefault="006300E5">
      <w:r>
        <w:t>Alueellisen vastuumuseon edellytyksistä on säädetty museolain 8 §:</w:t>
      </w:r>
      <w:proofErr w:type="spellStart"/>
      <w:r>
        <w:t>ssä</w:t>
      </w:r>
      <w:proofErr w:type="spellEnd"/>
      <w:r>
        <w:t xml:space="preserve">. </w:t>
      </w:r>
    </w:p>
    <w:p w:rsidR="006300E5" w:rsidRDefault="00217BEA">
      <w:r>
        <w:t>Selvitys koskee</w:t>
      </w:r>
    </w:p>
    <w:p w:rsidR="006300E5" w:rsidRDefault="006300E5">
      <w:r>
        <w:rPr>
          <w:rFonts w:cstheme="minorHAnsi"/>
        </w:rPr>
        <w:t>□</w:t>
      </w:r>
      <w:r>
        <w:t xml:space="preserve"> </w:t>
      </w:r>
      <w:r w:rsidR="00217BEA">
        <w:t>nykyistä</w:t>
      </w:r>
      <w:r w:rsidR="002E7B73">
        <w:t xml:space="preserve"> alueellista vastuumuseotehtävää </w:t>
      </w:r>
      <w:r w:rsidR="00217BEA">
        <w:t>hoitavaa museota</w:t>
      </w:r>
      <w:r>
        <w:t xml:space="preserve"> </w:t>
      </w:r>
    </w:p>
    <w:p w:rsidR="0065572A" w:rsidRDefault="0065572A">
      <w:r>
        <w:t xml:space="preserve">Ohje: </w:t>
      </w:r>
      <w:r w:rsidRPr="0065572A">
        <w:t xml:space="preserve">Museon tulee </w:t>
      </w:r>
      <w:r w:rsidR="006A5D57">
        <w:t>vastata edellytysten täyttymistä koskevaan kysymykseen</w:t>
      </w:r>
      <w:r w:rsidRPr="0065572A">
        <w:t xml:space="preserve"> kunkin tehtävän osalta. Edellytysten täyttymistä ei kuitenkaan tarvitse </w:t>
      </w:r>
      <w:proofErr w:type="gramStart"/>
      <w:r w:rsidR="007527A3">
        <w:t>selvittää</w:t>
      </w:r>
      <w:proofErr w:type="gramEnd"/>
      <w:r w:rsidRPr="0065572A">
        <w:t xml:space="preserve"> mikäli museon tilanteessa ei ole tapahtunut muutosta sen jälkeen kun museo on nimetty alueelliseksi vastuumuseoksi vuoden 2020 alusta lukien.</w:t>
      </w:r>
    </w:p>
    <w:p w:rsidR="006300E5" w:rsidRDefault="006300E5">
      <w:r>
        <w:rPr>
          <w:rFonts w:cstheme="minorHAnsi"/>
        </w:rPr>
        <w:t>□</w:t>
      </w:r>
      <w:r w:rsidR="002E7B73">
        <w:t xml:space="preserve"> uutta</w:t>
      </w:r>
      <w:r>
        <w:t xml:space="preserve"> alueellista vastuumuseotehtävää </w:t>
      </w:r>
      <w:r w:rsidR="00217BEA">
        <w:t>hakevaa museota</w:t>
      </w:r>
    </w:p>
    <w:p w:rsidR="0065572A" w:rsidRDefault="0065572A">
      <w:r>
        <w:t xml:space="preserve">Ohje: </w:t>
      </w:r>
      <w:r w:rsidRPr="0065572A">
        <w:t>Museon tulee selvittää edellytysten täyttyminen kunkin haetun tehtävän osalta erikseen. Edellytysten tulee täyttyä selvitystä jätettäessä. Lomake täytetään vain museon hakemien vastuumuseotehtävien osalta.</w:t>
      </w:r>
    </w:p>
    <w:p w:rsidR="002E7B73" w:rsidRDefault="00330D39">
      <w:r>
        <w:t>Selvitys</w:t>
      </w:r>
      <w:r w:rsidR="002E7B73">
        <w:t xml:space="preserve"> </w:t>
      </w:r>
      <w:r>
        <w:t xml:space="preserve">kirjoitetaan tälle lomakkeelle ohjeen jälkeen. Selvitys </w:t>
      </w:r>
      <w:r w:rsidR="002E7B73">
        <w:t>voi kussakin kohdassa olla pituudeltaan enintään 3000 merkkiä.</w:t>
      </w:r>
    </w:p>
    <w:p w:rsidR="00330D39" w:rsidRDefault="00330D39"/>
    <w:p w:rsidR="00330D39" w:rsidRDefault="00330D39" w:rsidP="00330D39">
      <w:pPr>
        <w:pStyle w:val="Luettelokappale"/>
        <w:numPr>
          <w:ilvl w:val="0"/>
          <w:numId w:val="2"/>
        </w:numPr>
        <w:spacing w:after="0" w:line="256" w:lineRule="auto"/>
        <w:rPr>
          <w:i/>
        </w:rPr>
      </w:pPr>
      <w:r>
        <w:rPr>
          <w:b/>
        </w:rPr>
        <w:t>Alueellisen museotoiminnan edistämistehtävä</w:t>
      </w:r>
    </w:p>
    <w:p w:rsidR="00330D39" w:rsidRDefault="00330D39" w:rsidP="00330D39">
      <w:pPr>
        <w:spacing w:after="0"/>
        <w:ind w:left="720"/>
        <w:rPr>
          <w:i/>
        </w:rPr>
      </w:pPr>
    </w:p>
    <w:p w:rsidR="00330D39" w:rsidRDefault="00330D39" w:rsidP="00330D39">
      <w:pPr>
        <w:spacing w:after="0"/>
        <w:ind w:left="720"/>
      </w:pPr>
      <w:r>
        <w:rPr>
          <w:highlight w:val="lightGray"/>
        </w:rPr>
        <w:t>1.1. Museon nimeäminen alueelliseksi vastuumuseoksi on toimialueen olosuhteiden ja 7 §:ssä säädettyjen tehtävien hoidon kannalta tarpeellista</w:t>
      </w:r>
    </w:p>
    <w:p w:rsidR="00330D39" w:rsidRDefault="00DE0D31" w:rsidP="00330D39">
      <w:pPr>
        <w:spacing w:after="0"/>
        <w:ind w:left="720"/>
      </w:pPr>
      <w:sdt>
        <w:sdtPr>
          <w:rPr>
            <w:rFonts w:cstheme="minorHAnsi"/>
          </w:rPr>
          <w:id w:val="-137950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30D39">
        <w:t xml:space="preserve"> edellytys täyttyy</w:t>
      </w:r>
      <w:r w:rsidR="00330D39">
        <w:tab/>
      </w:r>
      <w:r w:rsidR="00330D39">
        <w:tab/>
        <w:t xml:space="preserve"> </w:t>
      </w:r>
      <w:sdt>
        <w:sdtPr>
          <w:id w:val="82207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hint="eastAsia"/>
            </w:rPr>
            <w:t>☐</w:t>
          </w:r>
        </w:sdtContent>
      </w:sdt>
      <w:r w:rsidR="00330D39">
        <w:t xml:space="preserve"> edellytys ei täyty</w:t>
      </w:r>
    </w:p>
    <w:p w:rsidR="00330D39" w:rsidRDefault="00330D39" w:rsidP="00330D39">
      <w:pPr>
        <w:spacing w:after="0"/>
        <w:ind w:left="720"/>
      </w:pPr>
    </w:p>
    <w:p w:rsidR="00330D39" w:rsidRDefault="00327836" w:rsidP="00330D39">
      <w:pPr>
        <w:spacing w:after="0"/>
        <w:ind w:left="720"/>
        <w:rPr>
          <w:i/>
        </w:rPr>
      </w:pPr>
      <w:r>
        <w:rPr>
          <w:i/>
        </w:rPr>
        <w:t>Ohje</w:t>
      </w:r>
      <w:r w:rsidR="00330D39">
        <w:rPr>
          <w:i/>
        </w:rPr>
        <w:t>:</w:t>
      </w:r>
    </w:p>
    <w:p w:rsidR="00330D39" w:rsidRDefault="00327836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 xml:space="preserve">kuvaus </w:t>
      </w:r>
      <w:r w:rsidR="00330D39">
        <w:rPr>
          <w:i/>
        </w:rPr>
        <w:t>olemassa olevien palveluiden määrästä ja tarjonnasta esitetyllä toimialueella</w:t>
      </w:r>
    </w:p>
    <w:p w:rsidR="00330D39" w:rsidRDefault="00327836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kuvaus</w:t>
      </w:r>
      <w:r w:rsidR="00330D39">
        <w:rPr>
          <w:i/>
        </w:rPr>
        <w:t xml:space="preserve"> tehtävää hakevan museon olemassa olevista, tehtävän hoidon kannalta olennaisista yhteistyö- ja sidosryhmäverkostoista</w:t>
      </w:r>
    </w:p>
    <w:p w:rsidR="00330D39" w:rsidRDefault="00327836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 xml:space="preserve">kuvaus </w:t>
      </w:r>
      <w:r w:rsidR="00330D39">
        <w:rPr>
          <w:i/>
        </w:rPr>
        <w:t>tehtävään hakevan museon olemassa olevista yhteyksistä esitetyn toimialueen kuntiin ja maakuntaan/maakuntiin</w:t>
      </w:r>
    </w:p>
    <w:p w:rsidR="00330D39" w:rsidRDefault="00330D39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lyhyt kuvaus ja lukumäärä esittämällänne toimialueella toimivista muista ammatillisista ja ei-ammatillisista museoista ja muista keskeisistä kulttuuriperintöalan toimijoista</w:t>
      </w:r>
    </w:p>
    <w:p w:rsidR="00330D39" w:rsidRDefault="00330D39" w:rsidP="00330D39">
      <w:pPr>
        <w:pStyle w:val="Luettelokappale"/>
      </w:pPr>
    </w:p>
    <w:p w:rsidR="00330D39" w:rsidRPr="00330D39" w:rsidRDefault="00330D39" w:rsidP="00330D39">
      <w:pPr>
        <w:spacing w:after="0" w:line="256" w:lineRule="auto"/>
        <w:ind w:left="720"/>
        <w:rPr>
          <w:rFonts w:ascii="Calibri" w:eastAsia="Calibri" w:hAnsi="Calibri" w:cs="Times New Roman"/>
        </w:rPr>
      </w:pPr>
      <w:r w:rsidRPr="00330D39">
        <w:rPr>
          <w:rFonts w:ascii="Calibri" w:eastAsia="Calibri" w:hAnsi="Calibri" w:cs="Times New Roman"/>
          <w:highlight w:val="lightGray"/>
        </w:rPr>
        <w:t>1.2. Museolla on toimintaa ja palveluita koskeva alueellinen suunnitelma</w:t>
      </w:r>
    </w:p>
    <w:p w:rsidR="00330D39" w:rsidRPr="00330D39" w:rsidRDefault="00DE0D31" w:rsidP="00330D39">
      <w:pPr>
        <w:spacing w:after="0" w:line="256" w:lineRule="auto"/>
        <w:ind w:left="720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Calibri"/>
          </w:rPr>
          <w:id w:val="67160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Segoe UI Symbol" w:eastAsia="Calibri" w:hAnsi="Segoe UI Symbol" w:cs="Segoe UI Symbol"/>
            </w:rPr>
            <w:t>☐</w:t>
          </w:r>
        </w:sdtContent>
      </w:sdt>
      <w:r w:rsidR="00330D39" w:rsidRPr="00330D39">
        <w:rPr>
          <w:rFonts w:ascii="Calibri" w:eastAsia="Calibri" w:hAnsi="Calibri" w:cs="Times New Roman"/>
        </w:rPr>
        <w:t xml:space="preserve"> edellytys täyttyy</w:t>
      </w:r>
      <w:r w:rsidR="00330D39" w:rsidRPr="00330D39">
        <w:rPr>
          <w:rFonts w:ascii="Calibri" w:eastAsia="Calibri" w:hAnsi="Calibri" w:cs="Times New Roman"/>
        </w:rPr>
        <w:tab/>
      </w:r>
      <w:r w:rsidR="00330D39" w:rsidRPr="00330D39">
        <w:rPr>
          <w:rFonts w:ascii="Calibri" w:eastAsia="Calibri" w:hAnsi="Calibri" w:cs="Times New Roman"/>
        </w:rPr>
        <w:tab/>
        <w:t xml:space="preserve"> </w:t>
      </w:r>
      <w:sdt>
        <w:sdtPr>
          <w:rPr>
            <w:rFonts w:ascii="Calibri" w:eastAsia="Calibri" w:hAnsi="Calibri" w:cs="Times New Roman"/>
          </w:rPr>
          <w:id w:val="1576011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Segoe UI Symbol" w:eastAsia="Calibri" w:hAnsi="Segoe UI Symbol" w:cs="Segoe UI Symbol"/>
            </w:rPr>
            <w:t>☐</w:t>
          </w:r>
        </w:sdtContent>
      </w:sdt>
      <w:r w:rsidR="00330D39" w:rsidRPr="00330D39">
        <w:rPr>
          <w:rFonts w:ascii="Calibri" w:eastAsia="Calibri" w:hAnsi="Calibri" w:cs="Times New Roman"/>
        </w:rPr>
        <w:t>edellytys ei täyty</w:t>
      </w:r>
    </w:p>
    <w:p w:rsidR="00330D39" w:rsidRPr="00330D39" w:rsidRDefault="00330D39" w:rsidP="00330D39">
      <w:pPr>
        <w:spacing w:after="0" w:line="256" w:lineRule="auto"/>
        <w:ind w:left="720"/>
        <w:rPr>
          <w:rFonts w:ascii="Calibri" w:eastAsia="Calibri" w:hAnsi="Calibri" w:cs="Times New Roman"/>
        </w:rPr>
      </w:pPr>
    </w:p>
    <w:p w:rsidR="00330D39" w:rsidRPr="00330D39" w:rsidRDefault="00330D39" w:rsidP="00330D39">
      <w:pPr>
        <w:spacing w:after="0" w:line="256" w:lineRule="auto"/>
        <w:ind w:left="720"/>
        <w:rPr>
          <w:rFonts w:ascii="Calibri" w:eastAsia="Calibri" w:hAnsi="Calibri" w:cs="Times New Roman"/>
          <w:i/>
        </w:rPr>
      </w:pPr>
      <w:r w:rsidRPr="00330D39">
        <w:rPr>
          <w:rFonts w:ascii="Calibri" w:eastAsia="Calibri" w:hAnsi="Calibri" w:cs="Times New Roman"/>
          <w:i/>
        </w:rPr>
        <w:t>Alueellinen suunnitelma es</w:t>
      </w:r>
      <w:r>
        <w:rPr>
          <w:rFonts w:ascii="Calibri" w:eastAsia="Calibri" w:hAnsi="Calibri" w:cs="Times New Roman"/>
          <w:i/>
        </w:rPr>
        <w:t>itetään erillisellä liitteellä</w:t>
      </w:r>
      <w:r w:rsidRPr="00330D39">
        <w:rPr>
          <w:rFonts w:ascii="Calibri" w:eastAsia="Calibri" w:hAnsi="Calibri" w:cs="Times New Roman"/>
          <w:i/>
        </w:rPr>
        <w:t>.</w:t>
      </w:r>
    </w:p>
    <w:p w:rsidR="00330D39" w:rsidRDefault="00330D39" w:rsidP="00330D39">
      <w:pPr>
        <w:pStyle w:val="Luettelokappale"/>
      </w:pPr>
    </w:p>
    <w:p w:rsidR="00330D39" w:rsidRDefault="00330D39" w:rsidP="00330D39">
      <w:pPr>
        <w:spacing w:after="0"/>
        <w:ind w:left="720"/>
      </w:pPr>
      <w:r>
        <w:rPr>
          <w:highlight w:val="lightGray"/>
        </w:rPr>
        <w:t>1.3. Museolla on riittävä asiantuntemus, tehtävien suorittamiseen tarvittava osaaminen ja toimialueen tuntemus</w:t>
      </w:r>
    </w:p>
    <w:p w:rsidR="00330D39" w:rsidRDefault="00DE0D31" w:rsidP="00330D39">
      <w:pPr>
        <w:spacing w:after="0"/>
        <w:ind w:left="720"/>
      </w:pPr>
      <w:sdt>
        <w:sdtPr>
          <w:id w:val="-5532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hint="eastAsia"/>
            </w:rPr>
            <w:t>☐</w:t>
          </w:r>
        </w:sdtContent>
      </w:sdt>
      <w:r w:rsidR="00330D39">
        <w:t xml:space="preserve"> edellytys täyttyy</w:t>
      </w:r>
      <w:r w:rsidR="00330D39">
        <w:tab/>
      </w:r>
      <w:r w:rsidR="00330D39">
        <w:tab/>
      </w:r>
      <w:r w:rsidR="00330D39">
        <w:rPr>
          <w:rFonts w:cstheme="minorHAnsi"/>
        </w:rPr>
        <w:t xml:space="preserve"> </w:t>
      </w:r>
      <w:sdt>
        <w:sdtPr>
          <w:rPr>
            <w:rFonts w:cstheme="minorHAnsi"/>
          </w:rPr>
          <w:id w:val="16476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30D39">
        <w:t>edellytys ei täyty</w:t>
      </w:r>
    </w:p>
    <w:p w:rsidR="00330D39" w:rsidRDefault="00330D39" w:rsidP="00330D39">
      <w:pPr>
        <w:spacing w:after="0"/>
        <w:ind w:left="720"/>
      </w:pPr>
    </w:p>
    <w:p w:rsidR="00330D39" w:rsidRDefault="00327836" w:rsidP="00330D39">
      <w:pPr>
        <w:spacing w:after="0"/>
        <w:ind w:left="720"/>
      </w:pPr>
      <w:r>
        <w:t>Ohje</w:t>
      </w:r>
      <w:r w:rsidR="00330D39">
        <w:t>:</w:t>
      </w:r>
    </w:p>
    <w:p w:rsidR="00330D39" w:rsidRDefault="00327836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kuvau</w:t>
      </w:r>
      <w:r w:rsidR="00330D39">
        <w:rPr>
          <w:i/>
        </w:rPr>
        <w:t>s museon käytettävissä olevasta asiantuntemuksesta ja osaamisesta; museon asiantuntijatehtävää hoitavan vakinaisen henkilöstön tehtävänimikkeet, koulutus ja alan työkokemus.</w:t>
      </w:r>
    </w:p>
    <w:p w:rsidR="00330D39" w:rsidRDefault="00330D39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lastRenderedPageBreak/>
        <w:t>lyhyt kuvaus esitetyn toimialueen tuntemuksesta</w:t>
      </w:r>
    </w:p>
    <w:p w:rsidR="00330D39" w:rsidRDefault="00330D39" w:rsidP="00330D39">
      <w:pPr>
        <w:spacing w:after="0" w:line="256" w:lineRule="auto"/>
        <w:ind w:left="1080"/>
        <w:contextualSpacing/>
        <w:rPr>
          <w:i/>
        </w:rPr>
      </w:pPr>
    </w:p>
    <w:p w:rsidR="00330D39" w:rsidRDefault="00330D39" w:rsidP="00330D39">
      <w:pPr>
        <w:spacing w:after="0"/>
        <w:ind w:left="720"/>
      </w:pPr>
      <w:r>
        <w:rPr>
          <w:highlight w:val="lightGray"/>
        </w:rPr>
        <w:t>1.4. Museolla on toimialueeltaan riittävän kattavat kokoelmat, aineistot ja sisällöt</w:t>
      </w:r>
    </w:p>
    <w:p w:rsidR="00330D39" w:rsidRDefault="00DE0D31" w:rsidP="00330D39">
      <w:pPr>
        <w:spacing w:after="0"/>
        <w:ind w:left="720"/>
      </w:pPr>
      <w:sdt>
        <w:sdtPr>
          <w:id w:val="174429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hint="eastAsia"/>
            </w:rPr>
            <w:t>☐</w:t>
          </w:r>
        </w:sdtContent>
      </w:sdt>
      <w:r w:rsidR="00330D39">
        <w:t>edellytys täyttyy</w:t>
      </w:r>
      <w:r w:rsidR="00330D39">
        <w:tab/>
      </w:r>
      <w:r w:rsidR="00330D39">
        <w:tab/>
      </w:r>
      <w:sdt>
        <w:sdtPr>
          <w:id w:val="-116917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hint="eastAsia"/>
            </w:rPr>
            <w:t>☐</w:t>
          </w:r>
        </w:sdtContent>
      </w:sdt>
      <w:r w:rsidR="00330D39">
        <w:t>edellytys ei täyty</w:t>
      </w:r>
    </w:p>
    <w:p w:rsidR="00330D39" w:rsidRDefault="00330D39" w:rsidP="00330D39">
      <w:pPr>
        <w:spacing w:after="0"/>
        <w:ind w:left="720"/>
      </w:pPr>
    </w:p>
    <w:p w:rsidR="00330D39" w:rsidRDefault="00327836" w:rsidP="00330D39">
      <w:pPr>
        <w:spacing w:after="0"/>
        <w:ind w:left="720"/>
        <w:rPr>
          <w:i/>
        </w:rPr>
      </w:pPr>
      <w:r>
        <w:rPr>
          <w:i/>
        </w:rPr>
        <w:t>Ohje</w:t>
      </w:r>
      <w:r w:rsidR="00330D39">
        <w:rPr>
          <w:i/>
        </w:rPr>
        <w:t>:</w:t>
      </w:r>
    </w:p>
    <w:p w:rsidR="00330D39" w:rsidRDefault="00330D39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lyhyt kuvaus kokoelmien, aineistojen ja sisältöjen kattavuudesta esitetyn toimialueen osalta</w:t>
      </w:r>
    </w:p>
    <w:p w:rsidR="00330D39" w:rsidRDefault="00330D39" w:rsidP="00330D39">
      <w:pPr>
        <w:spacing w:after="0"/>
        <w:ind w:left="720"/>
      </w:pPr>
    </w:p>
    <w:p w:rsidR="00330D39" w:rsidRDefault="00330D39" w:rsidP="00330D39">
      <w:pPr>
        <w:spacing w:after="0"/>
        <w:ind w:left="720"/>
      </w:pPr>
      <w:r>
        <w:rPr>
          <w:highlight w:val="lightGray"/>
        </w:rPr>
        <w:t>1.5. Museolla on edellytykset suoriutua alueelliselle vastuumuseolle 7 §:ssä säädetyistä tehtävistä</w:t>
      </w:r>
    </w:p>
    <w:p w:rsidR="00330D39" w:rsidRDefault="00DE0D31" w:rsidP="00330D39">
      <w:pPr>
        <w:spacing w:after="0"/>
        <w:ind w:left="720"/>
        <w:rPr>
          <w:rFonts w:cstheme="minorHAnsi"/>
        </w:rPr>
      </w:pPr>
      <w:sdt>
        <w:sdtPr>
          <w:rPr>
            <w:rFonts w:cstheme="minorHAnsi"/>
          </w:rPr>
          <w:id w:val="73605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30D39">
        <w:rPr>
          <w:rFonts w:cstheme="minorHAnsi"/>
        </w:rPr>
        <w:t>edellytys täyttyy</w:t>
      </w:r>
      <w:r w:rsidR="00330D39">
        <w:rPr>
          <w:rFonts w:cstheme="minorHAnsi"/>
        </w:rPr>
        <w:tab/>
      </w:r>
      <w:r w:rsidR="00330D39">
        <w:rPr>
          <w:rFonts w:cstheme="minorHAnsi"/>
        </w:rPr>
        <w:tab/>
      </w:r>
      <w:sdt>
        <w:sdtPr>
          <w:rPr>
            <w:rFonts w:cstheme="minorHAnsi"/>
          </w:rPr>
          <w:id w:val="-164665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30D39">
        <w:rPr>
          <w:rFonts w:cstheme="minorHAnsi"/>
        </w:rPr>
        <w:t>edellytys ei täyty</w:t>
      </w:r>
    </w:p>
    <w:p w:rsidR="00330D39" w:rsidRDefault="00330D39" w:rsidP="00330D39">
      <w:pPr>
        <w:spacing w:after="0"/>
        <w:ind w:left="720"/>
        <w:rPr>
          <w:rFonts w:cstheme="minorHAnsi"/>
        </w:rPr>
      </w:pPr>
    </w:p>
    <w:p w:rsidR="00330D39" w:rsidRDefault="00327836" w:rsidP="00330D39">
      <w:pPr>
        <w:spacing w:after="0"/>
        <w:ind w:left="720"/>
        <w:rPr>
          <w:rFonts w:cstheme="minorHAnsi"/>
          <w:i/>
        </w:rPr>
      </w:pPr>
      <w:r>
        <w:rPr>
          <w:rFonts w:cstheme="minorHAnsi"/>
          <w:i/>
        </w:rPr>
        <w:t>Ohje</w:t>
      </w:r>
      <w:r w:rsidR="00330D39">
        <w:rPr>
          <w:rFonts w:cstheme="minorHAnsi"/>
          <w:i/>
        </w:rPr>
        <w:t>:</w:t>
      </w:r>
    </w:p>
    <w:p w:rsidR="00330D39" w:rsidRDefault="00330D39" w:rsidP="00330D39">
      <w:pPr>
        <w:numPr>
          <w:ilvl w:val="0"/>
          <w:numId w:val="4"/>
        </w:numPr>
        <w:spacing w:after="0" w:line="256" w:lineRule="auto"/>
        <w:contextualSpacing/>
        <w:rPr>
          <w:i/>
        </w:rPr>
      </w:pPr>
      <w:r>
        <w:rPr>
          <w:i/>
        </w:rPr>
        <w:t>selvitys tilojen ja henkilöstön riittävyydestä suhteessa tehtävien ja toimialueen laajuuteen</w:t>
      </w:r>
    </w:p>
    <w:p w:rsidR="00330D39" w:rsidRDefault="00330D39" w:rsidP="00330D39">
      <w:pPr>
        <w:spacing w:after="0"/>
        <w:rPr>
          <w:b/>
          <w:i/>
        </w:rPr>
      </w:pPr>
    </w:p>
    <w:p w:rsidR="00330D39" w:rsidRDefault="00330D39" w:rsidP="00330D39">
      <w:pPr>
        <w:pStyle w:val="Luettelokappale"/>
        <w:numPr>
          <w:ilvl w:val="0"/>
          <w:numId w:val="2"/>
        </w:numPr>
        <w:spacing w:after="0" w:line="256" w:lineRule="auto"/>
      </w:pPr>
      <w:r>
        <w:rPr>
          <w:b/>
        </w:rPr>
        <w:t>Alueellinen kulttuuriympäristötehtävä</w:t>
      </w:r>
    </w:p>
    <w:p w:rsidR="00330D39" w:rsidRDefault="00330D39" w:rsidP="00330D39">
      <w:pPr>
        <w:pStyle w:val="Luettelokappale"/>
        <w:spacing w:after="0"/>
        <w:ind w:left="1080"/>
      </w:pPr>
    </w:p>
    <w:p w:rsidR="00330D39" w:rsidRDefault="00330D39" w:rsidP="00330D39">
      <w:pPr>
        <w:spacing w:after="0"/>
        <w:ind w:left="720"/>
      </w:pPr>
      <w:r>
        <w:rPr>
          <w:highlight w:val="lightGray"/>
        </w:rPr>
        <w:t>2.1. Museon nimeäminen alueelliseksi vastuumuseoksi on toimialueen olosuhteiden ja 7 §:ssä säädettyjen tehtävien hoidon kannalta tarpeellista</w:t>
      </w:r>
    </w:p>
    <w:p w:rsidR="00330D39" w:rsidRDefault="00DE0D31" w:rsidP="00330D39">
      <w:pPr>
        <w:spacing w:after="0"/>
        <w:ind w:left="720"/>
      </w:pPr>
      <w:sdt>
        <w:sdtPr>
          <w:id w:val="-212891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hint="eastAsia"/>
            </w:rPr>
            <w:t>☐</w:t>
          </w:r>
        </w:sdtContent>
      </w:sdt>
      <w:r w:rsidR="00330D39">
        <w:t>edellytys täyttyy</w:t>
      </w:r>
      <w:r w:rsidR="00330D39">
        <w:tab/>
      </w:r>
      <w:r w:rsidR="00330D39">
        <w:tab/>
      </w:r>
      <w:sdt>
        <w:sdtPr>
          <w:id w:val="55612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hint="eastAsia"/>
            </w:rPr>
            <w:t>☐</w:t>
          </w:r>
        </w:sdtContent>
      </w:sdt>
      <w:r w:rsidR="00330D39">
        <w:t>edellytys ei täyty</w:t>
      </w:r>
    </w:p>
    <w:p w:rsidR="00330D39" w:rsidRDefault="00330D39" w:rsidP="00330D39">
      <w:pPr>
        <w:spacing w:after="0"/>
        <w:ind w:left="720"/>
      </w:pPr>
    </w:p>
    <w:p w:rsidR="00330D39" w:rsidRDefault="00327836" w:rsidP="00330D39">
      <w:pPr>
        <w:spacing w:after="0"/>
        <w:ind w:left="720"/>
        <w:rPr>
          <w:i/>
        </w:rPr>
      </w:pPr>
      <w:r>
        <w:rPr>
          <w:i/>
        </w:rPr>
        <w:t>Ohje</w:t>
      </w:r>
      <w:r w:rsidR="00330D39">
        <w:rPr>
          <w:i/>
        </w:rPr>
        <w:t>:</w:t>
      </w:r>
    </w:p>
    <w:p w:rsidR="00330D39" w:rsidRDefault="00327836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kuvaus</w:t>
      </w:r>
      <w:r w:rsidR="00330D39">
        <w:rPr>
          <w:i/>
        </w:rPr>
        <w:t xml:space="preserve"> olemassa olevien palveluiden määrästä ja tarjonnasta esitetyllä toimialueella</w:t>
      </w:r>
    </w:p>
    <w:p w:rsidR="00330D39" w:rsidRDefault="00327836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kuvaus</w:t>
      </w:r>
      <w:r w:rsidR="00330D39">
        <w:rPr>
          <w:i/>
        </w:rPr>
        <w:t xml:space="preserve"> tehtävää hakevan museon olemassa olevista, tehtävän hoidon kannalta olennaisista yhteistyö- ja sidosryhmäverkostoista</w:t>
      </w:r>
    </w:p>
    <w:p w:rsidR="00330D39" w:rsidRDefault="00327836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kuvaus</w:t>
      </w:r>
      <w:r w:rsidR="00330D39">
        <w:rPr>
          <w:i/>
        </w:rPr>
        <w:t xml:space="preserve"> tehtävään hakevan museon olemassa olevista yhteyksistä esitetyn toimialueen kuntiin ja maakuntaan/maakuntiin</w:t>
      </w:r>
    </w:p>
    <w:p w:rsidR="00330D39" w:rsidRDefault="00330D39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lyhyt kuvaus ja lukumäärä esittämällänne toimialueella toimivista muista keskeisistä kulttuuriperintöalan toimijoista sekä kulttuuriperintökohteiden määrästä (kuten kaavasuojellut rakennussuojelukohteet, muinaisjäännökset)</w:t>
      </w:r>
    </w:p>
    <w:p w:rsidR="00330D39" w:rsidRDefault="00330D39" w:rsidP="00330D39">
      <w:pPr>
        <w:spacing w:after="0"/>
      </w:pPr>
    </w:p>
    <w:p w:rsidR="00330D39" w:rsidRDefault="00330D39" w:rsidP="00330D39">
      <w:pPr>
        <w:spacing w:after="0"/>
        <w:ind w:left="720"/>
      </w:pPr>
      <w:r>
        <w:rPr>
          <w:highlight w:val="lightGray"/>
        </w:rPr>
        <w:t>2.2. Museolla on toimintaa ja palveluita koskeva alueellinen suunnitelma</w:t>
      </w:r>
    </w:p>
    <w:p w:rsidR="00330D39" w:rsidRDefault="00DE0D31" w:rsidP="00330D39">
      <w:pPr>
        <w:spacing w:after="0"/>
        <w:ind w:left="720"/>
      </w:pPr>
      <w:sdt>
        <w:sdtPr>
          <w:id w:val="24823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hint="eastAsia"/>
            </w:rPr>
            <w:t>☐</w:t>
          </w:r>
        </w:sdtContent>
      </w:sdt>
      <w:r w:rsidR="00330D39">
        <w:t>edellytys täyttyy</w:t>
      </w:r>
      <w:r w:rsidR="00330D39">
        <w:tab/>
      </w:r>
      <w:r w:rsidR="00330D39">
        <w:tab/>
      </w:r>
      <w:sdt>
        <w:sdtPr>
          <w:id w:val="32848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hint="eastAsia"/>
            </w:rPr>
            <w:t>☐</w:t>
          </w:r>
        </w:sdtContent>
      </w:sdt>
      <w:r w:rsidR="00330D39">
        <w:t>edellytys ei täyty</w:t>
      </w:r>
    </w:p>
    <w:p w:rsidR="00330D39" w:rsidRDefault="00330D39" w:rsidP="00330D39">
      <w:pPr>
        <w:spacing w:after="0"/>
        <w:ind w:left="720"/>
      </w:pPr>
    </w:p>
    <w:p w:rsidR="00330D39" w:rsidRDefault="00330D39" w:rsidP="00330D39">
      <w:pPr>
        <w:spacing w:after="0"/>
        <w:ind w:left="720"/>
        <w:rPr>
          <w:i/>
        </w:rPr>
      </w:pPr>
      <w:r>
        <w:rPr>
          <w:i/>
        </w:rPr>
        <w:t>Alueellinen suunnitelma esitetään erillisellä liitteellä.</w:t>
      </w:r>
    </w:p>
    <w:p w:rsidR="00330D39" w:rsidRDefault="00330D39" w:rsidP="00330D39">
      <w:pPr>
        <w:spacing w:after="0"/>
        <w:ind w:left="720"/>
        <w:rPr>
          <w:highlight w:val="lightGray"/>
        </w:rPr>
      </w:pPr>
    </w:p>
    <w:p w:rsidR="00330D39" w:rsidRDefault="00330D39" w:rsidP="00330D39">
      <w:pPr>
        <w:spacing w:after="0"/>
        <w:ind w:left="720"/>
      </w:pPr>
      <w:r>
        <w:rPr>
          <w:highlight w:val="lightGray"/>
        </w:rPr>
        <w:t>2.3. Museolla on riittävä asiantuntemus, tehtävien suorittamiseen tarvittava osaaminen ja toimialueen tuntemus</w:t>
      </w:r>
    </w:p>
    <w:p w:rsidR="00330D39" w:rsidRDefault="00DE0D31" w:rsidP="00330D39">
      <w:pPr>
        <w:spacing w:after="0"/>
        <w:ind w:left="720"/>
      </w:pPr>
      <w:sdt>
        <w:sdtPr>
          <w:id w:val="-164626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hint="eastAsia"/>
            </w:rPr>
            <w:t>☐</w:t>
          </w:r>
        </w:sdtContent>
      </w:sdt>
      <w:r w:rsidR="00330D39">
        <w:t>edellytys täyttyy</w:t>
      </w:r>
      <w:r w:rsidR="00330D39">
        <w:tab/>
      </w:r>
      <w:r w:rsidR="00330D39">
        <w:tab/>
      </w:r>
      <w:sdt>
        <w:sdtPr>
          <w:id w:val="-155838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D39" w:rsidRPr="00330D39">
            <w:rPr>
              <w:rFonts w:ascii="MS Gothic" w:eastAsia="MS Gothic" w:hAnsi="MS Gothic" w:hint="eastAsia"/>
            </w:rPr>
            <w:t>☐</w:t>
          </w:r>
        </w:sdtContent>
      </w:sdt>
      <w:r w:rsidR="00330D39">
        <w:t>edellytys ei täyty</w:t>
      </w:r>
    </w:p>
    <w:p w:rsidR="00330D39" w:rsidRDefault="00330D39" w:rsidP="00330D39">
      <w:pPr>
        <w:spacing w:after="0"/>
        <w:ind w:left="720"/>
      </w:pPr>
    </w:p>
    <w:p w:rsidR="00330D39" w:rsidRDefault="00327836" w:rsidP="00330D39">
      <w:pPr>
        <w:spacing w:after="0"/>
        <w:ind w:left="720"/>
        <w:rPr>
          <w:i/>
        </w:rPr>
      </w:pPr>
      <w:r>
        <w:rPr>
          <w:i/>
        </w:rPr>
        <w:t>Ohje</w:t>
      </w:r>
      <w:r w:rsidR="00330D39">
        <w:rPr>
          <w:i/>
        </w:rPr>
        <w:t>:</w:t>
      </w:r>
    </w:p>
    <w:p w:rsidR="00330D39" w:rsidRDefault="00327836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proofErr w:type="spellStart"/>
      <w:r>
        <w:rPr>
          <w:i/>
        </w:rPr>
        <w:t>kuvaus</w:t>
      </w:r>
      <w:r w:rsidR="00330D39">
        <w:rPr>
          <w:i/>
        </w:rPr>
        <w:t>s</w:t>
      </w:r>
      <w:proofErr w:type="spellEnd"/>
      <w:r w:rsidR="00330D39">
        <w:rPr>
          <w:i/>
        </w:rPr>
        <w:t xml:space="preserve"> museon käytettävissä olevasta asiantuntemuksesta ja osaamisesta; museon asiantuntijatehtävää hoitavan vakinaisen henkilöstön tehtävänimikkeet, koulutus ja alan työkokemus (eriteltyinä arkeologian, rakennusperinnön, restauroinnin ja muun kulttuuriympäristötyön vaatima osaaminen).</w:t>
      </w:r>
    </w:p>
    <w:p w:rsidR="00330D39" w:rsidRDefault="00330D39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lyhyt kuvaus esitetyn toimialueen tuntemuksesta</w:t>
      </w:r>
    </w:p>
    <w:p w:rsidR="00330D39" w:rsidRDefault="00330D39" w:rsidP="00330D39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arvio tehtäväkokonaisuuden hoitoon käytettävistä henkilöstöresursseista henkilötyövuosina</w:t>
      </w:r>
    </w:p>
    <w:p w:rsidR="00330D39" w:rsidRDefault="00330D39" w:rsidP="00330D39">
      <w:pPr>
        <w:spacing w:after="0" w:line="256" w:lineRule="auto"/>
        <w:ind w:left="1080"/>
        <w:contextualSpacing/>
        <w:rPr>
          <w:i/>
        </w:rPr>
      </w:pPr>
    </w:p>
    <w:p w:rsidR="00330D39" w:rsidRDefault="00330D39" w:rsidP="00330D39">
      <w:pPr>
        <w:spacing w:after="0"/>
        <w:ind w:left="1080"/>
        <w:contextualSpacing/>
        <w:rPr>
          <w:i/>
        </w:rPr>
      </w:pP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2126"/>
        <w:gridCol w:w="1729"/>
        <w:gridCol w:w="1729"/>
        <w:gridCol w:w="1729"/>
        <w:gridCol w:w="1595"/>
      </w:tblGrid>
      <w:tr w:rsidR="00330D39" w:rsidTr="00330D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9" w:rsidRDefault="00330D39">
            <w:pPr>
              <w:contextualSpacing/>
              <w:rPr>
                <w:i/>
              </w:rPr>
            </w:pPr>
            <w:r>
              <w:rPr>
                <w:i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9" w:rsidRDefault="00330D39">
            <w:pPr>
              <w:contextualSpacing/>
              <w:rPr>
                <w:i/>
              </w:rPr>
            </w:pPr>
            <w:r>
              <w:rPr>
                <w:i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9" w:rsidRDefault="00330D39">
            <w:pPr>
              <w:contextualSpacing/>
              <w:rPr>
                <w:i/>
              </w:rPr>
            </w:pPr>
            <w:r>
              <w:rPr>
                <w:i/>
              </w:rPr>
              <w:t>2025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  <w:r>
              <w:rPr>
                <w:i/>
              </w:rPr>
              <w:t>2026</w:t>
            </w:r>
          </w:p>
        </w:tc>
      </w:tr>
      <w:tr w:rsidR="00330D39" w:rsidTr="00330D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9" w:rsidRDefault="00330D39">
            <w:pPr>
              <w:contextualSpacing/>
              <w:rPr>
                <w:i/>
              </w:rPr>
            </w:pPr>
            <w:r>
              <w:rPr>
                <w:i/>
              </w:rPr>
              <w:t>arkeologia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</w:tr>
      <w:tr w:rsidR="00330D39" w:rsidTr="00330D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9" w:rsidRDefault="00330D39">
            <w:pPr>
              <w:contextualSpacing/>
              <w:rPr>
                <w:i/>
              </w:rPr>
            </w:pPr>
            <w:r>
              <w:rPr>
                <w:i/>
              </w:rPr>
              <w:t>rakennusperintö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</w:tr>
      <w:tr w:rsidR="00330D39" w:rsidTr="00330D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9" w:rsidRDefault="00330D39">
            <w:pPr>
              <w:contextualSpacing/>
              <w:rPr>
                <w:i/>
              </w:rPr>
            </w:pPr>
            <w:r>
              <w:rPr>
                <w:i/>
              </w:rPr>
              <w:t>restaurointi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</w:tr>
      <w:tr w:rsidR="00330D39" w:rsidTr="00330D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9" w:rsidRDefault="00330D39">
            <w:pPr>
              <w:contextualSpacing/>
              <w:rPr>
                <w:i/>
              </w:rPr>
            </w:pPr>
            <w:r>
              <w:rPr>
                <w:i/>
              </w:rPr>
              <w:t xml:space="preserve">muu </w:t>
            </w:r>
            <w:proofErr w:type="spellStart"/>
            <w:r>
              <w:rPr>
                <w:i/>
              </w:rPr>
              <w:t>ky</w:t>
            </w:r>
            <w:proofErr w:type="spellEnd"/>
            <w:r>
              <w:rPr>
                <w:i/>
              </w:rPr>
              <w:t>-asiantuntijatyö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</w:tr>
      <w:tr w:rsidR="00330D39" w:rsidTr="00330D3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D39" w:rsidRDefault="00330D39">
            <w:pPr>
              <w:contextualSpacing/>
              <w:rPr>
                <w:i/>
              </w:rPr>
            </w:pPr>
            <w:r>
              <w:rPr>
                <w:i/>
              </w:rPr>
              <w:t>yhteensä HTV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39" w:rsidRDefault="00330D39">
            <w:pPr>
              <w:contextualSpacing/>
              <w:rPr>
                <w:i/>
              </w:rPr>
            </w:pPr>
          </w:p>
        </w:tc>
      </w:tr>
    </w:tbl>
    <w:p w:rsidR="00330D39" w:rsidRDefault="00330D39" w:rsidP="00330D39">
      <w:pPr>
        <w:pStyle w:val="Luettelokappale"/>
      </w:pPr>
    </w:p>
    <w:p w:rsidR="00FE78F7" w:rsidRDefault="00FE78F7" w:rsidP="00FE78F7">
      <w:pPr>
        <w:spacing w:after="0"/>
        <w:ind w:left="720"/>
      </w:pPr>
      <w:r>
        <w:rPr>
          <w:highlight w:val="lightGray"/>
        </w:rPr>
        <w:t>2.4.Museolla on toimialueeltaan riittävän kattavat kokoelmat, aineistot ja sisällöt</w:t>
      </w:r>
    </w:p>
    <w:p w:rsidR="00FE78F7" w:rsidRDefault="00DE0D31" w:rsidP="00FE78F7">
      <w:pPr>
        <w:spacing w:after="0"/>
        <w:ind w:left="720"/>
      </w:pPr>
      <w:sdt>
        <w:sdtPr>
          <w:id w:val="214383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hint="eastAsia"/>
            </w:rPr>
            <w:t>☐</w:t>
          </w:r>
        </w:sdtContent>
      </w:sdt>
      <w:r w:rsidR="00FE78F7">
        <w:t>edellytys täyttyy</w:t>
      </w:r>
      <w:r w:rsidR="00FE78F7">
        <w:tab/>
      </w:r>
      <w:r w:rsidR="00FE78F7">
        <w:tab/>
      </w:r>
      <w:sdt>
        <w:sdtPr>
          <w:id w:val="82971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hint="eastAsia"/>
            </w:rPr>
            <w:t>☐</w:t>
          </w:r>
        </w:sdtContent>
      </w:sdt>
      <w:r w:rsidR="00FE78F7">
        <w:t>edellytys ei täyty</w:t>
      </w:r>
    </w:p>
    <w:p w:rsidR="00FE78F7" w:rsidRDefault="00FE78F7" w:rsidP="00FE78F7">
      <w:pPr>
        <w:spacing w:after="0"/>
        <w:ind w:left="720"/>
      </w:pPr>
    </w:p>
    <w:p w:rsidR="00FE78F7" w:rsidRDefault="00327836" w:rsidP="00FE78F7">
      <w:pPr>
        <w:spacing w:after="0"/>
        <w:ind w:left="720"/>
        <w:rPr>
          <w:i/>
        </w:rPr>
      </w:pPr>
      <w:r>
        <w:rPr>
          <w:i/>
        </w:rPr>
        <w:t>Ohje</w:t>
      </w:r>
      <w:r w:rsidR="00FE78F7">
        <w:rPr>
          <w:i/>
        </w:rPr>
        <w:t>:</w:t>
      </w:r>
    </w:p>
    <w:p w:rsidR="00FE78F7" w:rsidRDefault="00FE78F7" w:rsidP="00FE78F7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lyhyt kuvaus kokoelmien, aineistojen ja sisältöjen kattavuudesta esitetyn toimialueen osalta</w:t>
      </w:r>
    </w:p>
    <w:p w:rsidR="00FE78F7" w:rsidRDefault="00FE78F7" w:rsidP="00FE78F7">
      <w:pPr>
        <w:spacing w:after="0"/>
        <w:ind w:left="720"/>
        <w:rPr>
          <w:i/>
        </w:rPr>
      </w:pPr>
    </w:p>
    <w:p w:rsidR="00FE78F7" w:rsidRDefault="00FE78F7" w:rsidP="00FE78F7">
      <w:pPr>
        <w:spacing w:after="0"/>
        <w:ind w:left="720"/>
      </w:pPr>
      <w:r>
        <w:rPr>
          <w:highlight w:val="lightGray"/>
        </w:rPr>
        <w:t>2.5. Museolla on edellytykset suoriutua alueelliselle vastuumuseolle 7 §:ssä säädetyistä tehtävistä</w:t>
      </w:r>
    </w:p>
    <w:p w:rsidR="00FE78F7" w:rsidRDefault="00DE0D31" w:rsidP="00FE78F7">
      <w:pPr>
        <w:spacing w:after="0"/>
        <w:ind w:left="720"/>
        <w:rPr>
          <w:rFonts w:cstheme="minorHAnsi"/>
        </w:rPr>
      </w:pPr>
      <w:sdt>
        <w:sdtPr>
          <w:rPr>
            <w:rFonts w:cstheme="minorHAnsi"/>
          </w:rPr>
          <w:id w:val="-45896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78F7">
        <w:rPr>
          <w:rFonts w:cstheme="minorHAnsi"/>
        </w:rPr>
        <w:t>edellytys täyttyy</w:t>
      </w:r>
      <w:r w:rsidR="00FE78F7">
        <w:rPr>
          <w:rFonts w:cstheme="minorHAnsi"/>
        </w:rPr>
        <w:tab/>
      </w:r>
      <w:r w:rsidR="00FE78F7">
        <w:rPr>
          <w:rFonts w:cstheme="minorHAnsi"/>
        </w:rPr>
        <w:tab/>
      </w:r>
      <w:sdt>
        <w:sdtPr>
          <w:rPr>
            <w:rFonts w:cstheme="minorHAnsi"/>
          </w:rPr>
          <w:id w:val="-49164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78F7">
        <w:rPr>
          <w:rFonts w:cstheme="minorHAnsi"/>
        </w:rPr>
        <w:t>edellytys ei täyty</w:t>
      </w:r>
    </w:p>
    <w:p w:rsidR="00FE78F7" w:rsidRDefault="00FE78F7" w:rsidP="00FE78F7">
      <w:pPr>
        <w:spacing w:after="0"/>
        <w:ind w:left="720"/>
        <w:rPr>
          <w:rFonts w:cstheme="minorHAnsi"/>
        </w:rPr>
      </w:pPr>
    </w:p>
    <w:p w:rsidR="00FE78F7" w:rsidRDefault="00327836" w:rsidP="00FE78F7">
      <w:pPr>
        <w:spacing w:after="0"/>
        <w:ind w:left="720"/>
        <w:rPr>
          <w:rFonts w:cstheme="minorHAnsi"/>
          <w:i/>
        </w:rPr>
      </w:pPr>
      <w:r>
        <w:rPr>
          <w:rFonts w:cstheme="minorHAnsi"/>
          <w:i/>
        </w:rPr>
        <w:t>Ohje</w:t>
      </w:r>
      <w:r w:rsidR="00FE78F7">
        <w:rPr>
          <w:rFonts w:cstheme="minorHAnsi"/>
          <w:i/>
        </w:rPr>
        <w:t>:</w:t>
      </w:r>
    </w:p>
    <w:p w:rsidR="00FE78F7" w:rsidRDefault="00FE78F7" w:rsidP="00FE78F7">
      <w:pPr>
        <w:numPr>
          <w:ilvl w:val="0"/>
          <w:numId w:val="4"/>
        </w:numPr>
        <w:spacing w:after="0" w:line="256" w:lineRule="auto"/>
        <w:contextualSpacing/>
        <w:rPr>
          <w:i/>
        </w:rPr>
      </w:pPr>
      <w:r>
        <w:rPr>
          <w:i/>
        </w:rPr>
        <w:t>selvitys tilojen ja henkilöstön riittävyydestä suhteessa tehtävien ja toimialueen laajuuteen</w:t>
      </w:r>
    </w:p>
    <w:p w:rsidR="00FE78F7" w:rsidRDefault="00FE78F7" w:rsidP="00FE78F7">
      <w:pPr>
        <w:spacing w:after="0"/>
      </w:pPr>
    </w:p>
    <w:p w:rsidR="00FE78F7" w:rsidRDefault="00FE78F7" w:rsidP="00FE78F7">
      <w:pPr>
        <w:pStyle w:val="Luettelokappale"/>
        <w:numPr>
          <w:ilvl w:val="0"/>
          <w:numId w:val="2"/>
        </w:numPr>
        <w:spacing w:after="0" w:line="256" w:lineRule="auto"/>
      </w:pPr>
      <w:r>
        <w:rPr>
          <w:b/>
        </w:rPr>
        <w:t>Alueellinen taidemuseotehtävä</w:t>
      </w:r>
    </w:p>
    <w:p w:rsidR="00FE78F7" w:rsidRDefault="00FE78F7" w:rsidP="00FE78F7">
      <w:pPr>
        <w:spacing w:after="0"/>
        <w:rPr>
          <w:i/>
        </w:rPr>
      </w:pPr>
    </w:p>
    <w:p w:rsidR="00FE78F7" w:rsidRDefault="00FE78F7" w:rsidP="00FE78F7">
      <w:pPr>
        <w:spacing w:after="0"/>
        <w:ind w:left="720"/>
      </w:pPr>
      <w:r>
        <w:rPr>
          <w:highlight w:val="lightGray"/>
        </w:rPr>
        <w:t>3.1. Museon nimeäminen alueelliseksi vastuumuseoksi on toimialueen olosuhteiden ja 7 §:ssä säädettyjen tehtävien hoidon kannalta tarpeellista</w:t>
      </w:r>
    </w:p>
    <w:p w:rsidR="00FE78F7" w:rsidRDefault="00FE78F7" w:rsidP="00FE78F7">
      <w:pPr>
        <w:spacing w:after="0"/>
        <w:ind w:left="720"/>
      </w:pPr>
      <w:r>
        <w:rPr>
          <w:rFonts w:cstheme="minorHAnsi"/>
        </w:rPr>
        <w:t>□</w:t>
      </w:r>
      <w:r>
        <w:t xml:space="preserve"> edellytys täyttyy</w:t>
      </w:r>
      <w:r>
        <w:tab/>
      </w:r>
      <w:r>
        <w:tab/>
      </w:r>
      <w:r>
        <w:rPr>
          <w:rFonts w:cstheme="minorHAnsi"/>
        </w:rPr>
        <w:t>□</w:t>
      </w:r>
      <w:r>
        <w:t xml:space="preserve"> edellytys ei täyty</w:t>
      </w:r>
    </w:p>
    <w:p w:rsidR="00FE78F7" w:rsidRDefault="00FE78F7" w:rsidP="00FE78F7">
      <w:pPr>
        <w:spacing w:after="0"/>
        <w:ind w:left="720"/>
      </w:pPr>
    </w:p>
    <w:p w:rsidR="00FE78F7" w:rsidRDefault="00327836" w:rsidP="00FE78F7">
      <w:pPr>
        <w:spacing w:after="0"/>
        <w:ind w:left="720"/>
        <w:rPr>
          <w:i/>
        </w:rPr>
      </w:pPr>
      <w:r>
        <w:rPr>
          <w:i/>
        </w:rPr>
        <w:t>Ohje</w:t>
      </w:r>
      <w:r w:rsidR="00FE78F7">
        <w:rPr>
          <w:i/>
        </w:rPr>
        <w:t>:</w:t>
      </w:r>
    </w:p>
    <w:p w:rsidR="00FE78F7" w:rsidRDefault="00327836" w:rsidP="00FE78F7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kuvaus</w:t>
      </w:r>
      <w:r w:rsidR="00FE78F7">
        <w:rPr>
          <w:i/>
        </w:rPr>
        <w:t xml:space="preserve"> olemassa olevien palveluiden määrästä ja tarjonnasta esitetyllä toimialueella</w:t>
      </w:r>
    </w:p>
    <w:p w:rsidR="00FE78F7" w:rsidRDefault="00327836" w:rsidP="00FE78F7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kuvaus</w:t>
      </w:r>
      <w:r w:rsidR="00FE78F7">
        <w:rPr>
          <w:i/>
        </w:rPr>
        <w:t xml:space="preserve"> tehtävää hakevan museon olemassa olevista, tehtävän hoidon kannalta olennaisista yhteistyö- ja sidosryhmäverkostoista</w:t>
      </w:r>
    </w:p>
    <w:p w:rsidR="00FE78F7" w:rsidRDefault="00327836" w:rsidP="00FE78F7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kuvaus</w:t>
      </w:r>
      <w:r w:rsidR="00FE78F7">
        <w:rPr>
          <w:i/>
        </w:rPr>
        <w:t xml:space="preserve"> tehtävään hakevan museon olemassa olevista yhteyksistä esitetyn toimialueen kuntiin ja maakuntaan/maakuntiin</w:t>
      </w:r>
    </w:p>
    <w:p w:rsidR="00FE78F7" w:rsidRDefault="00FE78F7" w:rsidP="00FE78F7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lyhyt kuvaus ja lukumäärä esittämällänne toimialueella toimivista muista ammatillisista ja ei-ammatillisista taidemuseoista ja muista keskeisistä taiteen alan toimijoista</w:t>
      </w:r>
    </w:p>
    <w:p w:rsidR="00FE78F7" w:rsidRDefault="00FE78F7" w:rsidP="00FE78F7">
      <w:pPr>
        <w:spacing w:after="0"/>
      </w:pPr>
    </w:p>
    <w:p w:rsidR="00FE78F7" w:rsidRDefault="00FE78F7" w:rsidP="00FE78F7">
      <w:pPr>
        <w:spacing w:after="0"/>
        <w:ind w:firstLine="720"/>
      </w:pPr>
      <w:r>
        <w:rPr>
          <w:highlight w:val="lightGray"/>
        </w:rPr>
        <w:t>3.2. Museolla on toimintaa ja palveluita koskeva alueellinen suunnitelma</w:t>
      </w:r>
    </w:p>
    <w:p w:rsidR="00FE78F7" w:rsidRDefault="00DE0D31" w:rsidP="00FE78F7">
      <w:pPr>
        <w:spacing w:after="0"/>
        <w:ind w:left="720"/>
      </w:pPr>
      <w:sdt>
        <w:sdtPr>
          <w:id w:val="-2201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hint="eastAsia"/>
            </w:rPr>
            <w:t>☐</w:t>
          </w:r>
        </w:sdtContent>
      </w:sdt>
      <w:r w:rsidR="00FE78F7">
        <w:t>edellytys täyttyy</w:t>
      </w:r>
      <w:r w:rsidR="00FE78F7">
        <w:tab/>
      </w:r>
      <w:r w:rsidR="00FE78F7">
        <w:tab/>
      </w:r>
      <w:sdt>
        <w:sdtPr>
          <w:id w:val="203954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hint="eastAsia"/>
            </w:rPr>
            <w:t>☐</w:t>
          </w:r>
        </w:sdtContent>
      </w:sdt>
      <w:r w:rsidR="00FE78F7">
        <w:t>edellytys ei täyty</w:t>
      </w:r>
    </w:p>
    <w:p w:rsidR="00FE78F7" w:rsidRDefault="00FE78F7" w:rsidP="00FE78F7">
      <w:pPr>
        <w:spacing w:after="0"/>
        <w:ind w:left="720"/>
      </w:pPr>
    </w:p>
    <w:p w:rsidR="00FE78F7" w:rsidRDefault="00FE78F7" w:rsidP="00FE78F7">
      <w:pPr>
        <w:spacing w:after="0"/>
        <w:ind w:left="720"/>
        <w:rPr>
          <w:i/>
        </w:rPr>
      </w:pPr>
      <w:r>
        <w:rPr>
          <w:i/>
        </w:rPr>
        <w:t>Alueellinen suunnitelma esitetään erillisellä liitteellä.</w:t>
      </w:r>
    </w:p>
    <w:p w:rsidR="00FE78F7" w:rsidRDefault="00FE78F7" w:rsidP="00FE78F7">
      <w:pPr>
        <w:spacing w:after="0"/>
        <w:ind w:left="720"/>
      </w:pPr>
    </w:p>
    <w:p w:rsidR="00FE78F7" w:rsidRDefault="00FE78F7" w:rsidP="00FE78F7">
      <w:pPr>
        <w:spacing w:after="0"/>
        <w:ind w:left="720"/>
      </w:pPr>
      <w:r>
        <w:rPr>
          <w:highlight w:val="lightGray"/>
        </w:rPr>
        <w:t>3.3. Museolla on riittävä asiantuntemus, tehtävien suorittamiseen tarvittava osaaminen ja toimialueen tuntemus</w:t>
      </w:r>
    </w:p>
    <w:p w:rsidR="00FE78F7" w:rsidRDefault="00DE0D31" w:rsidP="00FE78F7">
      <w:pPr>
        <w:spacing w:after="0"/>
        <w:ind w:left="720"/>
      </w:pPr>
      <w:sdt>
        <w:sdtPr>
          <w:id w:val="-1017542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hint="eastAsia"/>
            </w:rPr>
            <w:t>☐</w:t>
          </w:r>
        </w:sdtContent>
      </w:sdt>
      <w:r w:rsidR="00FE78F7">
        <w:t>edellytys täyttyy</w:t>
      </w:r>
      <w:r w:rsidR="00FE78F7">
        <w:tab/>
      </w:r>
      <w:r w:rsidR="00FE78F7">
        <w:tab/>
      </w:r>
      <w:sdt>
        <w:sdtPr>
          <w:id w:val="-12322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hint="eastAsia"/>
            </w:rPr>
            <w:t>☐</w:t>
          </w:r>
        </w:sdtContent>
      </w:sdt>
      <w:r w:rsidR="00FE78F7">
        <w:t>edellytys ei täyty</w:t>
      </w:r>
    </w:p>
    <w:p w:rsidR="00FE78F7" w:rsidRDefault="00FE78F7" w:rsidP="00FE78F7">
      <w:pPr>
        <w:spacing w:after="0"/>
        <w:ind w:left="720"/>
      </w:pPr>
    </w:p>
    <w:p w:rsidR="00FE78F7" w:rsidRDefault="00051FA4" w:rsidP="00FE78F7">
      <w:pPr>
        <w:spacing w:after="0"/>
        <w:ind w:left="720"/>
        <w:rPr>
          <w:i/>
        </w:rPr>
      </w:pPr>
      <w:r>
        <w:rPr>
          <w:i/>
        </w:rPr>
        <w:t>Ohje</w:t>
      </w:r>
      <w:r w:rsidR="00FE78F7">
        <w:rPr>
          <w:i/>
        </w:rPr>
        <w:t>:</w:t>
      </w:r>
    </w:p>
    <w:p w:rsidR="00FE78F7" w:rsidRDefault="00051FA4" w:rsidP="00FE78F7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kuvaus</w:t>
      </w:r>
      <w:r w:rsidR="00FE78F7">
        <w:rPr>
          <w:i/>
        </w:rPr>
        <w:t xml:space="preserve"> museon käytettävissä olevasta asiantuntemuksesta ja osaamisesta; museon asiantuntijatehtävää hoitavan vakinaisen henkilöstön tehtävänimikkeet, koulutus ja alan työkokemus.</w:t>
      </w:r>
    </w:p>
    <w:p w:rsidR="00FE78F7" w:rsidRDefault="00FE78F7" w:rsidP="00FE78F7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lastRenderedPageBreak/>
        <w:t>lyhyt kuvaus esitetyn toimialueen tuntemuksesta</w:t>
      </w:r>
    </w:p>
    <w:p w:rsidR="00FE78F7" w:rsidRDefault="00FE78F7" w:rsidP="00FE78F7">
      <w:pPr>
        <w:spacing w:after="0"/>
        <w:contextualSpacing/>
        <w:rPr>
          <w:i/>
        </w:rPr>
      </w:pPr>
    </w:p>
    <w:p w:rsidR="00FE78F7" w:rsidRDefault="00FE78F7" w:rsidP="00FE78F7">
      <w:pPr>
        <w:spacing w:after="0"/>
        <w:ind w:left="720"/>
      </w:pPr>
    </w:p>
    <w:p w:rsidR="00FE78F7" w:rsidRDefault="00FE78F7" w:rsidP="00FE78F7">
      <w:pPr>
        <w:spacing w:after="0"/>
        <w:ind w:left="720"/>
      </w:pPr>
      <w:r>
        <w:rPr>
          <w:highlight w:val="lightGray"/>
        </w:rPr>
        <w:t>3.4.Museolla on toimialueeltaan riittävän kattavat kokoelmat, aineistot ja sisällöt</w:t>
      </w:r>
    </w:p>
    <w:p w:rsidR="00FE78F7" w:rsidRDefault="00DE0D31" w:rsidP="00FE78F7">
      <w:pPr>
        <w:spacing w:after="0"/>
        <w:ind w:left="720"/>
      </w:pPr>
      <w:sdt>
        <w:sdtPr>
          <w:id w:val="-1535806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hint="eastAsia"/>
            </w:rPr>
            <w:t>☐</w:t>
          </w:r>
        </w:sdtContent>
      </w:sdt>
      <w:r w:rsidR="00FE78F7">
        <w:t>edellytys täyttyy</w:t>
      </w:r>
      <w:r w:rsidR="00FE78F7">
        <w:tab/>
      </w:r>
      <w:r w:rsidR="00FE78F7">
        <w:tab/>
      </w:r>
      <w:sdt>
        <w:sdtPr>
          <w:id w:val="-1868832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hint="eastAsia"/>
            </w:rPr>
            <w:t>☐</w:t>
          </w:r>
        </w:sdtContent>
      </w:sdt>
      <w:r w:rsidR="00FE78F7">
        <w:t>edellytys ei täyty</w:t>
      </w:r>
    </w:p>
    <w:p w:rsidR="00FE78F7" w:rsidRDefault="00FE78F7" w:rsidP="00FE78F7">
      <w:pPr>
        <w:spacing w:after="0"/>
        <w:ind w:left="720"/>
      </w:pPr>
    </w:p>
    <w:p w:rsidR="00FE78F7" w:rsidRDefault="00051FA4" w:rsidP="00FE78F7">
      <w:pPr>
        <w:spacing w:after="0"/>
        <w:ind w:left="720"/>
      </w:pPr>
      <w:r>
        <w:t>Ohje</w:t>
      </w:r>
      <w:r w:rsidR="00FE78F7">
        <w:t>:</w:t>
      </w:r>
    </w:p>
    <w:p w:rsidR="00FE78F7" w:rsidRDefault="00FE78F7" w:rsidP="00FE78F7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lyhyt kuvaus kokoelmien, aineistojen ja sisältöjen kattavuudesta esitetyn toimialueen osalta</w:t>
      </w:r>
    </w:p>
    <w:p w:rsidR="00FE78F7" w:rsidRDefault="00FE78F7" w:rsidP="00FE78F7">
      <w:pPr>
        <w:numPr>
          <w:ilvl w:val="0"/>
          <w:numId w:val="3"/>
        </w:numPr>
        <w:spacing w:after="0" w:line="256" w:lineRule="auto"/>
        <w:contextualSpacing/>
        <w:rPr>
          <w:i/>
        </w:rPr>
      </w:pPr>
      <w:r>
        <w:rPr>
          <w:i/>
        </w:rPr>
        <w:t>mikäli kokoelmat ja aineistot eivät ole koko toiminta-alueen osalta museon omassa hallinnassa, selvitys miten pääsy alueellisesti merkittäviin aineistoihin on järjestetty</w:t>
      </w:r>
    </w:p>
    <w:p w:rsidR="00FE78F7" w:rsidRDefault="00FE78F7" w:rsidP="00FE78F7">
      <w:pPr>
        <w:spacing w:after="0"/>
        <w:ind w:left="720"/>
      </w:pPr>
    </w:p>
    <w:p w:rsidR="00FE78F7" w:rsidRDefault="00FE78F7" w:rsidP="00FE78F7">
      <w:pPr>
        <w:spacing w:after="0"/>
        <w:ind w:left="720"/>
      </w:pPr>
      <w:r>
        <w:rPr>
          <w:highlight w:val="lightGray"/>
        </w:rPr>
        <w:t>3.5. Museolla on edellytykset suoriutua alueelliselle vastuumuseolle 7 §:ssä säädetyistä tehtävistä</w:t>
      </w:r>
    </w:p>
    <w:p w:rsidR="00FE78F7" w:rsidRDefault="00DE0D31" w:rsidP="00FE78F7">
      <w:pPr>
        <w:spacing w:after="0"/>
        <w:ind w:left="720"/>
        <w:rPr>
          <w:rFonts w:cstheme="minorHAnsi"/>
        </w:rPr>
      </w:pPr>
      <w:sdt>
        <w:sdtPr>
          <w:rPr>
            <w:rFonts w:cstheme="minorHAnsi"/>
          </w:rPr>
          <w:id w:val="26728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78F7">
        <w:rPr>
          <w:rFonts w:cstheme="minorHAnsi"/>
        </w:rPr>
        <w:t>edellytys täyttyy</w:t>
      </w:r>
      <w:r w:rsidR="00FE78F7">
        <w:rPr>
          <w:rFonts w:cstheme="minorHAnsi"/>
        </w:rPr>
        <w:tab/>
      </w:r>
      <w:r w:rsidR="00FE78F7">
        <w:rPr>
          <w:rFonts w:cstheme="minorHAnsi"/>
        </w:rPr>
        <w:tab/>
      </w:r>
      <w:sdt>
        <w:sdtPr>
          <w:rPr>
            <w:rFonts w:cstheme="minorHAnsi"/>
          </w:rPr>
          <w:id w:val="-1336530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78F7" w:rsidRPr="00FE78F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E78F7">
        <w:rPr>
          <w:rFonts w:cstheme="minorHAnsi"/>
        </w:rPr>
        <w:t>edellytys ei täyty</w:t>
      </w:r>
    </w:p>
    <w:p w:rsidR="00FE78F7" w:rsidRDefault="00FE78F7" w:rsidP="00FE78F7">
      <w:pPr>
        <w:spacing w:after="0"/>
        <w:ind w:left="720"/>
        <w:rPr>
          <w:rFonts w:cstheme="minorHAnsi"/>
        </w:rPr>
      </w:pPr>
    </w:p>
    <w:p w:rsidR="00FE78F7" w:rsidRDefault="00FE78F7" w:rsidP="00FE78F7">
      <w:pPr>
        <w:spacing w:after="0"/>
        <w:ind w:left="720"/>
        <w:rPr>
          <w:rFonts w:cstheme="minorHAnsi"/>
          <w:i/>
        </w:rPr>
      </w:pPr>
      <w:r>
        <w:rPr>
          <w:rFonts w:cstheme="minorHAnsi"/>
          <w:i/>
        </w:rPr>
        <w:t>Perustelu:</w:t>
      </w:r>
    </w:p>
    <w:p w:rsidR="00FE78F7" w:rsidRDefault="00FE78F7" w:rsidP="00FE78F7">
      <w:pPr>
        <w:numPr>
          <w:ilvl w:val="0"/>
          <w:numId w:val="4"/>
        </w:numPr>
        <w:spacing w:after="0" w:line="256" w:lineRule="auto"/>
        <w:contextualSpacing/>
        <w:rPr>
          <w:i/>
        </w:rPr>
      </w:pPr>
      <w:r>
        <w:rPr>
          <w:i/>
        </w:rPr>
        <w:t>selvitys tilojen ja henkilöstön riittävyydestä suhteessa tehtävien ja toimialueen laajuuteen</w:t>
      </w:r>
    </w:p>
    <w:p w:rsidR="00FE78F7" w:rsidRPr="006300E5" w:rsidRDefault="00FE78F7" w:rsidP="00330D39">
      <w:pPr>
        <w:pStyle w:val="Luettelokappale"/>
      </w:pPr>
    </w:p>
    <w:sectPr w:rsidR="00FE78F7" w:rsidRPr="006300E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6DBD"/>
    <w:multiLevelType w:val="hybridMultilevel"/>
    <w:tmpl w:val="EDA8DFD6"/>
    <w:lvl w:ilvl="0" w:tplc="554CCF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CB10FB"/>
    <w:multiLevelType w:val="hybridMultilevel"/>
    <w:tmpl w:val="72F80002"/>
    <w:lvl w:ilvl="0" w:tplc="00923BA4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0B0019">
      <w:start w:val="1"/>
      <w:numFmt w:val="lowerLetter"/>
      <w:lvlText w:val="%2."/>
      <w:lvlJc w:val="left"/>
      <w:pPr>
        <w:ind w:left="1800" w:hanging="360"/>
      </w:pPr>
    </w:lvl>
    <w:lvl w:ilvl="2" w:tplc="040B001B">
      <w:start w:val="1"/>
      <w:numFmt w:val="lowerRoman"/>
      <w:lvlText w:val="%3."/>
      <w:lvlJc w:val="right"/>
      <w:pPr>
        <w:ind w:left="2520" w:hanging="180"/>
      </w:pPr>
    </w:lvl>
    <w:lvl w:ilvl="3" w:tplc="040B000F">
      <w:start w:val="1"/>
      <w:numFmt w:val="decimal"/>
      <w:lvlText w:val="%4."/>
      <w:lvlJc w:val="left"/>
      <w:pPr>
        <w:ind w:left="3240" w:hanging="360"/>
      </w:pPr>
    </w:lvl>
    <w:lvl w:ilvl="4" w:tplc="040B0019">
      <w:start w:val="1"/>
      <w:numFmt w:val="lowerLetter"/>
      <w:lvlText w:val="%5."/>
      <w:lvlJc w:val="left"/>
      <w:pPr>
        <w:ind w:left="3960" w:hanging="360"/>
      </w:pPr>
    </w:lvl>
    <w:lvl w:ilvl="5" w:tplc="040B001B">
      <w:start w:val="1"/>
      <w:numFmt w:val="lowerRoman"/>
      <w:lvlText w:val="%6."/>
      <w:lvlJc w:val="right"/>
      <w:pPr>
        <w:ind w:left="4680" w:hanging="180"/>
      </w:pPr>
    </w:lvl>
    <w:lvl w:ilvl="6" w:tplc="040B000F">
      <w:start w:val="1"/>
      <w:numFmt w:val="decimal"/>
      <w:lvlText w:val="%7."/>
      <w:lvlJc w:val="left"/>
      <w:pPr>
        <w:ind w:left="5400" w:hanging="360"/>
      </w:pPr>
    </w:lvl>
    <w:lvl w:ilvl="7" w:tplc="040B0019">
      <w:start w:val="1"/>
      <w:numFmt w:val="lowerLetter"/>
      <w:lvlText w:val="%8."/>
      <w:lvlJc w:val="left"/>
      <w:pPr>
        <w:ind w:left="6120" w:hanging="360"/>
      </w:pPr>
    </w:lvl>
    <w:lvl w:ilvl="8" w:tplc="040B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EA1139"/>
    <w:multiLevelType w:val="hybridMultilevel"/>
    <w:tmpl w:val="1A1AAB7C"/>
    <w:lvl w:ilvl="0" w:tplc="554CCF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F67A09"/>
    <w:multiLevelType w:val="hybridMultilevel"/>
    <w:tmpl w:val="F1B8E6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C5"/>
    <w:rsid w:val="00051FA4"/>
    <w:rsid w:val="00217BEA"/>
    <w:rsid w:val="002E7B73"/>
    <w:rsid w:val="00327836"/>
    <w:rsid w:val="00330D39"/>
    <w:rsid w:val="006300E5"/>
    <w:rsid w:val="0065572A"/>
    <w:rsid w:val="006A5D57"/>
    <w:rsid w:val="007527A3"/>
    <w:rsid w:val="009065C5"/>
    <w:rsid w:val="00962818"/>
    <w:rsid w:val="00C16992"/>
    <w:rsid w:val="00D55E4F"/>
    <w:rsid w:val="00DE0D31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77386-AF17-41B2-837B-A4D94A97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30D39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330D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6034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Salonen Päivi (OKM)</dc:creator>
  <cp:keywords/>
  <dc:description/>
  <cp:lastModifiedBy>Kurki Tarja (OKM)</cp:lastModifiedBy>
  <cp:revision>2</cp:revision>
  <dcterms:created xsi:type="dcterms:W3CDTF">2021-12-21T07:09:00Z</dcterms:created>
  <dcterms:modified xsi:type="dcterms:W3CDTF">2021-12-21T07:09:00Z</dcterms:modified>
</cp:coreProperties>
</file>